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Plain English and Accessible Communication</w:t>
      </w:r>
    </w:p>
    <w:p>
      <w:pPr>
        <w:spacing w:after="140"/>
      </w:pPr>
      <w:r>
        <w:rPr>
          <w:rFonts w:ascii="Aptos" w:hAnsi="Aptos"/>
          <w:b/>
          <w:color w:val="505050"/>
          <w:sz w:val="21"/>
        </w:rPr>
        <w:t>Two-page companion guide for IntNSA authors, reviewers, chapters and communications leads</w:t>
      </w:r>
    </w:p>
    <w:tbl>
      <w:tblPr>
        <w:tblW w:type="auto" w:w="0"/>
        <w:jc w:val="center"/>
        <w:tblLayout w:type="fixed"/>
        <w:tblLook w:firstColumn="1" w:firstRow="1" w:lastColumn="0" w:lastRow="0" w:noHBand="0" w:noVBand="1" w:val="04A0"/>
      </w:tblPr>
      <w:tblGrid>
        <w:gridCol w:w="10224"/>
      </w:tblGrid>
      <w:tr>
        <w:tc>
          <w:tcPr>
            <w:tcW w:type="dxa" w:w="10454"/>
            <w:shd w:fill="EAF2F8"/>
            <w:tcMar>
              <w:top w:w="150" w:type="dxa"/>
              <w:start w:w="170" w:type="dxa"/>
              <w:bottom w:w="150" w:type="dxa"/>
              <w:end w:w="170" w:type="dxa"/>
            </w:tcMar>
          </w:tcPr>
          <w:p>
            <w:pPr>
              <w:spacing w:after="0"/>
            </w:pPr>
            <w:r>
              <w:rPr>
                <w:rFonts w:ascii="Aptos" w:hAnsi="Aptos"/>
                <w:b/>
                <w:color w:val="1F4E79"/>
                <w:sz w:val="21"/>
              </w:rPr>
              <w:t>Our shorthand position</w:t>
              <w:br/>
            </w:r>
            <w:r>
              <w:rPr>
                <w:rFonts w:ascii="Aptos" w:hAnsi="Aptos"/>
                <w:sz w:val="20"/>
              </w:rPr>
              <w:t>IntNSA uses plain English to support clear, accessible communication across our global community. US English is the default house style for centrally produced material, while other established forms of English, including British English, are equally valid. We avoid treating any one country, health system or professional tradition as the assumed norm.</w:t>
            </w:r>
          </w:p>
        </w:tc>
      </w:tr>
    </w:tbl>
    <w:p>
      <w:pPr>
        <w:pStyle w:val="Heading1"/>
      </w:pPr>
      <w:r>
        <w:t>1. What this means in practice</w:t>
      </w:r>
    </w:p>
    <w:p>
      <w:pPr>
        <w:spacing w:after="100" w:line="250" w:lineRule="auto"/>
      </w:pPr>
      <w:r>
        <w:rPr>
          <w:rFonts w:ascii="Aptos" w:hAnsi="Aptos"/>
          <w:b/>
          <w:color w:val="1F4E79"/>
          <w:sz w:val="20"/>
        </w:rPr>
        <w:t xml:space="preserve">Plain English. </w:t>
      </w:r>
      <w:r>
        <w:rPr>
          <w:rFonts w:ascii="Aptos" w:hAnsi="Aptos"/>
          <w:sz w:val="20"/>
        </w:rPr>
        <w:t>Write so the intended reader can find, understand and use the information without unnecessary effort. Keep technical meaning where it is needed.</w:t>
      </w:r>
    </w:p>
    <w:p>
      <w:pPr>
        <w:spacing w:after="100" w:line="250" w:lineRule="auto"/>
      </w:pPr>
      <w:r>
        <w:rPr>
          <w:rFonts w:ascii="Aptos" w:hAnsi="Aptos"/>
          <w:b/>
          <w:color w:val="1F4E79"/>
          <w:sz w:val="20"/>
        </w:rPr>
        <w:t xml:space="preserve">House style. </w:t>
      </w:r>
      <w:r>
        <w:rPr>
          <w:rFonts w:ascii="Aptos" w:hAnsi="Aptos"/>
          <w:sz w:val="20"/>
        </w:rPr>
        <w:t>Centrally produced IntNSA material normally uses US English for consistency in spelling, punctuation and presentation.</w:t>
      </w:r>
    </w:p>
    <w:p>
      <w:pPr>
        <w:spacing w:after="100" w:line="250" w:lineRule="auto"/>
      </w:pPr>
      <w:r>
        <w:rPr>
          <w:rFonts w:ascii="Aptos" w:hAnsi="Aptos"/>
          <w:b/>
          <w:color w:val="1F4E79"/>
          <w:sz w:val="20"/>
        </w:rPr>
        <w:t xml:space="preserve">Authored voice. </w:t>
      </w:r>
      <w:r>
        <w:rPr>
          <w:rFonts w:ascii="Aptos" w:hAnsi="Aptos"/>
          <w:sz w:val="20"/>
        </w:rPr>
        <w:t>Articles, presentations, chapter material and other attributed work do not need to be converted to US English solely for stylistic uniformity. Clear British English and other established English traditions are acceptable.</w:t>
      </w:r>
    </w:p>
    <w:p>
      <w:pPr>
        <w:spacing w:after="100" w:line="250" w:lineRule="auto"/>
      </w:pPr>
      <w:r>
        <w:rPr>
          <w:rFonts w:ascii="Aptos" w:hAnsi="Aptos"/>
          <w:b/>
          <w:color w:val="1F4E79"/>
          <w:sz w:val="20"/>
        </w:rPr>
        <w:t xml:space="preserve">No linguistic hierarchy. </w:t>
      </w:r>
      <w:r>
        <w:rPr>
          <w:rFonts w:ascii="Aptos" w:hAnsi="Aptos"/>
          <w:sz w:val="20"/>
        </w:rPr>
        <w:t>House style is an editorial convention. It does not make US English more correct than British, Canadian, Irish, Australian or other established forms of English.</w:t>
      </w:r>
    </w:p>
    <w:p>
      <w:pPr>
        <w:spacing w:after="100" w:line="250" w:lineRule="auto"/>
      </w:pPr>
      <w:r>
        <w:rPr>
          <w:rFonts w:ascii="Aptos" w:hAnsi="Aptos"/>
          <w:b/>
          <w:color w:val="1F4E79"/>
          <w:sz w:val="20"/>
        </w:rPr>
        <w:t xml:space="preserve">Respectful language. </w:t>
      </w:r>
      <w:r>
        <w:rPr>
          <w:rFonts w:ascii="Aptos" w:hAnsi="Aptos"/>
          <w:sz w:val="20"/>
        </w:rPr>
        <w:t>Plain English is also respectful language. Avoid unnecessary stigma or labels, and recognise the person before a condition as a strong default, not an absolute rule.</w:t>
      </w:r>
    </w:p>
    <w:p>
      <w:pPr>
        <w:pStyle w:val="Heading1"/>
      </w:pPr>
      <w:r>
        <w:t>2. No assumed centre: positionality matters</w:t>
      </w:r>
    </w:p>
    <w:p>
      <w:pPr>
        <w:spacing w:after="80"/>
      </w:pPr>
      <w:r>
        <w:rPr>
          <w:rFonts w:ascii="Aptos" w:hAnsi="Aptos"/>
          <w:sz w:val="20"/>
        </w:rPr>
        <w:t>IntNSA communicates across a global community, not from one national centre to everyone else. Positionality means recognising that our language can reflect the standpoint of a particular country, culture, profession or health system and can unintentionally present that standpoint as the norm.</w:t>
      </w:r>
    </w:p>
    <w:p>
      <w:pPr>
        <w:pStyle w:val="ListBullet"/>
        <w:spacing w:after="60" w:line="245" w:lineRule="auto"/>
        <w:ind w:left="259" w:hanging="187"/>
      </w:pPr>
      <w:r>
        <w:rPr>
          <w:rFonts w:ascii="Aptos" w:hAnsi="Aptos"/>
          <w:sz w:val="20"/>
        </w:rPr>
        <w:t>Name the country or jurisdiction when a rule, system, title or professional structure is specific to that setting.</w:t>
      </w:r>
    </w:p>
    <w:p>
      <w:pPr>
        <w:pStyle w:val="ListBullet"/>
        <w:spacing w:after="60" w:line="245" w:lineRule="auto"/>
        <w:ind w:left="259" w:hanging="187"/>
      </w:pPr>
      <w:r>
        <w:rPr>
          <w:rFonts w:ascii="Aptos" w:hAnsi="Aptos"/>
          <w:sz w:val="20"/>
        </w:rPr>
        <w:t>Do not leave US systems unnamed while labelling other countries as exceptions.</w:t>
      </w:r>
    </w:p>
    <w:p>
      <w:pPr>
        <w:pStyle w:val="ListBullet"/>
        <w:spacing w:after="60" w:line="245" w:lineRule="auto"/>
        <w:ind w:left="259" w:hanging="187"/>
      </w:pPr>
      <w:r>
        <w:rPr>
          <w:rFonts w:ascii="Aptos" w:hAnsi="Aptos"/>
          <w:sz w:val="20"/>
        </w:rPr>
        <w:t>Avoid assuming that professional titles, prescribing systems, regulation, education or healthcare structures work the same way everywhere.</w:t>
      </w:r>
    </w:p>
    <w:tbl>
      <w:tblPr>
        <w:tblW w:type="auto" w:w="0"/>
        <w:jc w:val="center"/>
        <w:tblLook w:firstColumn="1" w:firstRow="1" w:lastColumn="0" w:lastRow="0" w:noHBand="0" w:noVBand="1" w:val="04A0"/>
      </w:tblPr>
      <w:tblGrid>
        <w:gridCol w:w="10454"/>
      </w:tblGrid>
      <w:tr>
        <w:tc>
          <w:tcPr>
            <w:tcW w:type="dxa" w:w="10454"/>
            <w:shd w:fill="F3F3F3"/>
            <w:tcMar>
              <w:top w:w="110" w:type="dxa"/>
              <w:start w:w="160" w:type="dxa"/>
              <w:bottom w:w="110" w:type="dxa"/>
              <w:end w:w="160" w:type="dxa"/>
            </w:tcMar>
          </w:tcPr>
          <w:p>
            <w:r>
              <w:rPr>
                <w:rFonts w:ascii="Aptos" w:hAnsi="Aptos"/>
                <w:b/>
                <w:color w:val="1F4E79"/>
                <w:sz w:val="20"/>
              </w:rPr>
              <w:t xml:space="preserve">Useful test: </w:t>
            </w:r>
            <w:r>
              <w:rPr>
                <w:rFonts w:ascii="Aptos" w:hAnsi="Aptos"/>
                <w:sz w:val="20"/>
              </w:rPr>
              <w:t>If we would name the country or system when it was not the United States, we should name the US context too.</w:t>
            </w:r>
          </w:p>
        </w:tc>
      </w:tr>
    </w:tbl>
    <w:p>
      <w:pPr>
        <w:pStyle w:val="Heading1"/>
      </w:pPr>
      <w:r>
        <w:t>3. Write for a global audience</w:t>
      </w:r>
    </w:p>
    <w:p>
      <w:pPr>
        <w:pStyle w:val="ListBullet"/>
        <w:spacing w:after="60" w:line="245" w:lineRule="auto"/>
        <w:ind w:left="259" w:hanging="187"/>
      </w:pPr>
      <w:r>
        <w:rPr>
          <w:rFonts w:ascii="Aptos" w:hAnsi="Aptos"/>
          <w:sz w:val="20"/>
        </w:rPr>
        <w:t>Put the main message early and make actions, responsibilities and deadlines explicit.</w:t>
      </w:r>
    </w:p>
    <w:p>
      <w:pPr>
        <w:pStyle w:val="ListBullet"/>
        <w:spacing w:after="60" w:line="245" w:lineRule="auto"/>
        <w:ind w:left="259" w:hanging="187"/>
      </w:pPr>
      <w:r>
        <w:rPr>
          <w:rFonts w:ascii="Aptos" w:hAnsi="Aptos"/>
          <w:sz w:val="20"/>
        </w:rPr>
        <w:t>Use familiar, precise words and explain technical terms when the intended audience may not know them.</w:t>
      </w:r>
    </w:p>
    <w:p>
      <w:pPr>
        <w:pStyle w:val="ListBullet"/>
        <w:spacing w:after="60" w:line="245" w:lineRule="auto"/>
        <w:ind w:left="259" w:hanging="187"/>
      </w:pPr>
      <w:r>
        <w:rPr>
          <w:rFonts w:ascii="Aptos" w:hAnsi="Aptos"/>
          <w:sz w:val="20"/>
        </w:rPr>
        <w:t>Avoid unexplained acronyms, local idioms, slang, culture-specific humour and numeric date formats that can be read differently.</w:t>
      </w:r>
    </w:p>
    <w:p>
      <w:pPr>
        <w:pStyle w:val="ListBullet"/>
        <w:spacing w:after="60" w:line="245" w:lineRule="auto"/>
        <w:ind w:left="259" w:hanging="187"/>
      </w:pPr>
      <w:r>
        <w:rPr>
          <w:rFonts w:ascii="Aptos" w:hAnsi="Aptos"/>
          <w:sz w:val="20"/>
        </w:rPr>
        <w:t>Use dates such as 14 September 2026 where ambiguity is possible.</w:t>
      </w:r>
    </w:p>
    <w:p>
      <w:r>
        <w:br w:type="page"/>
      </w:r>
    </w:p>
    <w:p>
      <w:pPr>
        <w:pStyle w:val="Heading1"/>
      </w:pPr>
      <w:r>
        <w:t>4. Language access and inclusion</w:t>
      </w:r>
    </w:p>
    <w:p>
      <w:r>
        <w:rPr>
          <w:rFonts w:ascii="Aptos" w:hAnsi="Aptos"/>
          <w:sz w:val="20"/>
        </w:rPr>
        <w:t>Plain English improves access for readers of English, including people using English as an additional language, but it does not replace translation or accessible formats.</w:t>
      </w:r>
    </w:p>
    <w:p>
      <w:pPr>
        <w:pStyle w:val="ListBullet"/>
        <w:spacing w:after="60" w:line="245" w:lineRule="auto"/>
        <w:ind w:left="259" w:hanging="187"/>
      </w:pPr>
      <w:r>
        <w:rPr>
          <w:rFonts w:ascii="Aptos" w:hAnsi="Aptos"/>
          <w:sz w:val="20"/>
        </w:rPr>
        <w:t>IntNSA aims to progressively improve access to key organisational information in priority languages.</w:t>
      </w:r>
    </w:p>
    <w:p>
      <w:pPr>
        <w:pStyle w:val="ListBullet"/>
        <w:spacing w:after="60" w:line="245" w:lineRule="auto"/>
        <w:ind w:left="259" w:hanging="187"/>
      </w:pPr>
      <w:r>
        <w:rPr>
          <w:rFonts w:ascii="Aptos" w:hAnsi="Aptos"/>
          <w:sz w:val="20"/>
        </w:rPr>
        <w:t>Initial priorities are Spanish; Portuguese, including Brazilian Portuguese where appropriate; French, including Canadian French where appropriate; Polish; Finnish; Icelandic; and Croatian.</w:t>
      </w:r>
    </w:p>
    <w:p>
      <w:pPr>
        <w:pStyle w:val="ListBullet"/>
        <w:spacing w:after="60" w:line="245" w:lineRule="auto"/>
        <w:ind w:left="259" w:hanging="187"/>
      </w:pPr>
      <w:r>
        <w:rPr>
          <w:rFonts w:ascii="Aptos" w:hAnsi="Aptos"/>
          <w:sz w:val="20"/>
        </w:rPr>
        <w:t>Not every policy or publication will be translated. Priority should reflect audience need, importance, risk and available resources.</w:t>
      </w:r>
    </w:p>
    <w:p>
      <w:pPr>
        <w:pStyle w:val="ListBullet"/>
        <w:spacing w:after="60" w:line="245" w:lineRule="auto"/>
        <w:ind w:left="259" w:hanging="187"/>
      </w:pPr>
      <w:r>
        <w:rPr>
          <w:rFonts w:ascii="Aptos" w:hAnsi="Aptos"/>
          <w:sz w:val="20"/>
        </w:rPr>
        <w:t>Machine translation may support general website access. Material with significant governance, legal, clinical, professional, financial or membership implications should receive appropriate human review before being presented as an official translation.</w:t>
      </w:r>
    </w:p>
    <w:p>
      <w:pPr>
        <w:pStyle w:val="Heading1"/>
      </w:pPr>
      <w:r>
        <w:t>5. Accessibility</w:t>
      </w:r>
    </w:p>
    <w:p>
      <w:pPr>
        <w:pStyle w:val="ListBullet"/>
        <w:spacing w:after="60" w:line="245" w:lineRule="auto"/>
        <w:ind w:left="259" w:hanging="187"/>
      </w:pPr>
      <w:r>
        <w:rPr>
          <w:rFonts w:ascii="Aptos" w:hAnsi="Aptos"/>
          <w:sz w:val="20"/>
        </w:rPr>
        <w:t>Plain English is one part of accessibility. Content may also need alternative formats, captions, transcripts, visual support, Easy Read or another adapted format.</w:t>
      </w:r>
    </w:p>
    <w:p>
      <w:pPr>
        <w:pStyle w:val="ListBullet"/>
        <w:spacing w:after="60" w:line="245" w:lineRule="auto"/>
        <w:ind w:left="259" w:hanging="187"/>
      </w:pPr>
      <w:r>
        <w:rPr>
          <w:rFonts w:ascii="Aptos" w:hAnsi="Aptos"/>
          <w:sz w:val="20"/>
        </w:rPr>
        <w:t>IntNSA aims for its website and relevant digital content to conform to WCAG 2.2 Level AA, or the current equivalent recognised accessibility standard, where reasonably practicable.</w:t>
      </w:r>
    </w:p>
    <w:p>
      <w:pPr>
        <w:pStyle w:val="ListBullet"/>
        <w:spacing w:after="60" w:line="245" w:lineRule="auto"/>
        <w:ind w:left="259" w:hanging="187"/>
      </w:pPr>
      <w:r>
        <w:rPr>
          <w:rFonts w:ascii="Aptos" w:hAnsi="Aptos"/>
          <w:sz w:val="20"/>
        </w:rPr>
        <w:t>Readers should be able to request clarification, an alternative format or information about available translated versions through the organisation’s published contact route.</w:t>
      </w:r>
    </w:p>
    <w:p>
      <w:pPr>
        <w:pStyle w:val="Heading1"/>
      </w:pPr>
      <w:r>
        <w:t>6. Before you publish</w:t>
      </w:r>
    </w:p>
    <w:tbl>
      <w:tblPr>
        <w:tblW w:type="auto" w:w="0"/>
        <w:jc w:val="center"/>
        <w:tblLayout w:type="fixed"/>
        <w:tblLook w:firstColumn="1" w:firstRow="1" w:lastColumn="0" w:lastRow="0" w:noHBand="0" w:noVBand="1" w:val="04A0"/>
      </w:tblPr>
      <w:tblGrid>
        <w:gridCol w:w="2376"/>
        <w:gridCol w:w="7704"/>
      </w:tblGrid>
      <w:tr>
        <w:trPr>
          <w:tblHeader w:val="true"/>
        </w:trPr>
        <w:tc>
          <w:tcPr>
            <w:tcW w:type="dxa" w:w="5227"/>
            <w:shd w:fill="D9EAF7"/>
            <w:tcMar>
              <w:top w:w="120" w:type="dxa"/>
              <w:start w:w="140" w:type="dxa"/>
              <w:bottom w:w="120" w:type="dxa"/>
              <w:end w:w="140" w:type="dxa"/>
            </w:tcMar>
          </w:tcPr>
          <w:p>
            <w:pPr>
              <w:jc w:val="left"/>
            </w:pPr>
            <w:r>
              <w:rPr>
                <w:rFonts w:ascii="Aptos" w:hAnsi="Aptos"/>
                <w:b/>
                <w:color w:val="1F4E79"/>
                <w:sz w:val="19"/>
              </w:rPr>
              <w:t>Check</w:t>
            </w:r>
          </w:p>
        </w:tc>
        <w:tc>
          <w:tcPr>
            <w:tcW w:type="dxa" w:w="5227"/>
            <w:shd w:fill="D9EAF7"/>
            <w:tcMar>
              <w:top w:w="120" w:type="dxa"/>
              <w:start w:w="140" w:type="dxa"/>
              <w:bottom w:w="120" w:type="dxa"/>
              <w:end w:w="140" w:type="dxa"/>
            </w:tcMar>
          </w:tcPr>
          <w:p>
            <w:pPr>
              <w:jc w:val="left"/>
            </w:pPr>
            <w:r>
              <w:rPr>
                <w:rFonts w:ascii="Aptos" w:hAnsi="Aptos"/>
                <w:b/>
                <w:color w:val="1F4E79"/>
                <w:sz w:val="19"/>
              </w:rPr>
              <w:t>Ask yourself</w:t>
            </w:r>
          </w:p>
        </w:tc>
      </w:tr>
      <w:tr>
        <w:tc>
          <w:tcPr>
            <w:tcW w:type="dxa" w:w="2376"/>
            <w:vAlign w:val="center"/>
            <w:tcMar>
              <w:top w:w="95" w:type="dxa"/>
              <w:start w:w="140" w:type="dxa"/>
              <w:bottom w:w="95" w:type="dxa"/>
              <w:end w:w="140" w:type="dxa"/>
            </w:tcMar>
          </w:tcPr>
          <w:p>
            <w:r>
              <w:rPr>
                <w:rFonts w:ascii="Aptos" w:hAnsi="Aptos"/>
                <w:b/>
                <w:sz w:val="18"/>
              </w:rPr>
              <w:t>Clear</w:t>
            </w:r>
          </w:p>
        </w:tc>
        <w:tc>
          <w:tcPr>
            <w:tcW w:type="dxa" w:w="7704"/>
            <w:vAlign w:val="center"/>
            <w:tcMar>
              <w:top w:w="95" w:type="dxa"/>
              <w:start w:w="140" w:type="dxa"/>
              <w:bottom w:w="95" w:type="dxa"/>
              <w:end w:w="140" w:type="dxa"/>
            </w:tcMar>
          </w:tcPr>
          <w:p>
            <w:r>
              <w:rPr>
                <w:rFonts w:ascii="Aptos" w:hAnsi="Aptos"/>
                <w:sz w:val="18"/>
              </w:rPr>
              <w:t>Can the intended reader identify the main message without unnecessary effort?</w:t>
            </w:r>
          </w:p>
        </w:tc>
      </w:tr>
      <w:tr>
        <w:tc>
          <w:tcPr>
            <w:tcW w:type="dxa" w:w="2376"/>
            <w:vAlign w:val="center"/>
            <w:tcMar>
              <w:top w:w="95" w:type="dxa"/>
              <w:start w:w="140" w:type="dxa"/>
              <w:bottom w:w="95" w:type="dxa"/>
              <w:end w:w="140" w:type="dxa"/>
            </w:tcMar>
          </w:tcPr>
          <w:p>
            <w:r>
              <w:rPr>
                <w:rFonts w:ascii="Aptos" w:hAnsi="Aptos"/>
                <w:b/>
                <w:sz w:val="18"/>
              </w:rPr>
              <w:t>Accurate</w:t>
            </w:r>
          </w:p>
        </w:tc>
        <w:tc>
          <w:tcPr>
            <w:tcW w:type="dxa" w:w="7704"/>
            <w:vAlign w:val="center"/>
            <w:tcMar>
              <w:top w:w="95" w:type="dxa"/>
              <w:start w:w="140" w:type="dxa"/>
              <w:bottom w:w="95" w:type="dxa"/>
              <w:end w:w="140" w:type="dxa"/>
            </w:tcMar>
          </w:tcPr>
          <w:p>
            <w:r>
              <w:rPr>
                <w:rFonts w:ascii="Aptos" w:hAnsi="Aptos"/>
                <w:sz w:val="18"/>
              </w:rPr>
              <w:t>Have clinical, scientific, legal or governance meanings been preserved?</w:t>
            </w:r>
          </w:p>
        </w:tc>
      </w:tr>
      <w:tr>
        <w:tc>
          <w:tcPr>
            <w:tcW w:type="dxa" w:w="2376"/>
            <w:vAlign w:val="center"/>
            <w:tcMar>
              <w:top w:w="95" w:type="dxa"/>
              <w:start w:w="140" w:type="dxa"/>
              <w:bottom w:w="95" w:type="dxa"/>
              <w:end w:w="140" w:type="dxa"/>
            </w:tcMar>
          </w:tcPr>
          <w:p>
            <w:r>
              <w:rPr>
                <w:rFonts w:ascii="Aptos" w:hAnsi="Aptos"/>
                <w:b/>
                <w:sz w:val="18"/>
              </w:rPr>
              <w:t>Necessary</w:t>
            </w:r>
          </w:p>
        </w:tc>
        <w:tc>
          <w:tcPr>
            <w:tcW w:type="dxa" w:w="7704"/>
            <w:vAlign w:val="center"/>
            <w:tcMar>
              <w:top w:w="95" w:type="dxa"/>
              <w:start w:w="140" w:type="dxa"/>
              <w:bottom w:w="95" w:type="dxa"/>
              <w:end w:w="140" w:type="dxa"/>
            </w:tcMar>
          </w:tcPr>
          <w:p>
            <w:r>
              <w:rPr>
                <w:rFonts w:ascii="Aptos" w:hAnsi="Aptos"/>
                <w:sz w:val="18"/>
              </w:rPr>
              <w:t>Have words and details that do not help the reader been removed?</w:t>
            </w:r>
          </w:p>
        </w:tc>
      </w:tr>
      <w:tr>
        <w:tc>
          <w:tcPr>
            <w:tcW w:type="dxa" w:w="2376"/>
            <w:vAlign w:val="center"/>
            <w:tcMar>
              <w:top w:w="95" w:type="dxa"/>
              <w:start w:w="140" w:type="dxa"/>
              <w:bottom w:w="95" w:type="dxa"/>
              <w:end w:w="140" w:type="dxa"/>
            </w:tcMar>
          </w:tcPr>
          <w:p>
            <w:r>
              <w:rPr>
                <w:rFonts w:ascii="Aptos" w:hAnsi="Aptos"/>
                <w:b/>
                <w:sz w:val="18"/>
              </w:rPr>
              <w:t>Globally understandable</w:t>
            </w:r>
          </w:p>
        </w:tc>
        <w:tc>
          <w:tcPr>
            <w:tcW w:type="dxa" w:w="7704"/>
            <w:vAlign w:val="center"/>
            <w:tcMar>
              <w:top w:w="95" w:type="dxa"/>
              <w:start w:w="140" w:type="dxa"/>
              <w:bottom w:w="95" w:type="dxa"/>
              <w:end w:w="140" w:type="dxa"/>
            </w:tcMar>
          </w:tcPr>
          <w:p>
            <w:r>
              <w:rPr>
                <w:rFonts w:ascii="Aptos" w:hAnsi="Aptos"/>
                <w:sz w:val="18"/>
              </w:rPr>
              <w:t>Have country-specific assumptions been identified and positionality considered?</w:t>
            </w:r>
          </w:p>
        </w:tc>
      </w:tr>
      <w:tr>
        <w:tc>
          <w:tcPr>
            <w:tcW w:type="dxa" w:w="2376"/>
            <w:vAlign w:val="center"/>
            <w:tcMar>
              <w:top w:w="95" w:type="dxa"/>
              <w:start w:w="140" w:type="dxa"/>
              <w:bottom w:w="95" w:type="dxa"/>
              <w:end w:w="140" w:type="dxa"/>
            </w:tcMar>
          </w:tcPr>
          <w:p>
            <w:r>
              <w:rPr>
                <w:rFonts w:ascii="Aptos" w:hAnsi="Aptos"/>
                <w:b/>
                <w:sz w:val="18"/>
              </w:rPr>
              <w:t>Inclusive</w:t>
            </w:r>
          </w:p>
        </w:tc>
        <w:tc>
          <w:tcPr>
            <w:tcW w:type="dxa" w:w="7704"/>
            <w:vAlign w:val="center"/>
            <w:tcMar>
              <w:top w:w="95" w:type="dxa"/>
              <w:start w:w="140" w:type="dxa"/>
              <w:bottom w:w="95" w:type="dxa"/>
              <w:end w:w="140" w:type="dxa"/>
            </w:tcMar>
          </w:tcPr>
          <w:p>
            <w:r>
              <w:rPr>
                <w:rFonts w:ascii="Aptos" w:hAnsi="Aptos"/>
                <w:sz w:val="18"/>
              </w:rPr>
              <w:t>Have we considered people using another form of English or English as an additional language?</w:t>
            </w:r>
          </w:p>
        </w:tc>
      </w:tr>
      <w:tr>
        <w:tc>
          <w:tcPr>
            <w:tcW w:type="dxa" w:w="2376"/>
            <w:vAlign w:val="center"/>
            <w:tcMar>
              <w:top w:w="95" w:type="dxa"/>
              <w:start w:w="140" w:type="dxa"/>
              <w:bottom w:w="95" w:type="dxa"/>
              <w:end w:w="140" w:type="dxa"/>
            </w:tcMar>
          </w:tcPr>
          <w:p>
            <w:r>
              <w:rPr>
                <w:rFonts w:ascii="Aptos" w:hAnsi="Aptos"/>
                <w:b/>
                <w:sz w:val="18"/>
              </w:rPr>
              <w:t>Respectful</w:t>
            </w:r>
          </w:p>
        </w:tc>
        <w:tc>
          <w:tcPr>
            <w:tcW w:type="dxa" w:w="7704"/>
            <w:vAlign w:val="center"/>
            <w:tcMar>
              <w:top w:w="95" w:type="dxa"/>
              <w:start w:w="140" w:type="dxa"/>
              <w:bottom w:w="95" w:type="dxa"/>
              <w:end w:w="140" w:type="dxa"/>
            </w:tcMar>
          </w:tcPr>
          <w:p>
            <w:r>
              <w:rPr>
                <w:rFonts w:ascii="Aptos" w:hAnsi="Aptos"/>
                <w:sz w:val="18"/>
              </w:rPr>
              <w:t>Does the language avoid unnecessary stigma, judgement or cultural assumptions?</w:t>
            </w:r>
          </w:p>
        </w:tc>
      </w:tr>
      <w:tr>
        <w:tc>
          <w:tcPr>
            <w:tcW w:type="dxa" w:w="2376"/>
            <w:vAlign w:val="center"/>
            <w:tcMar>
              <w:top w:w="95" w:type="dxa"/>
              <w:start w:w="140" w:type="dxa"/>
              <w:bottom w:w="95" w:type="dxa"/>
              <w:end w:w="140" w:type="dxa"/>
            </w:tcMar>
          </w:tcPr>
          <w:p>
            <w:r>
              <w:rPr>
                <w:rFonts w:ascii="Aptos" w:hAnsi="Aptos"/>
                <w:b/>
                <w:sz w:val="18"/>
              </w:rPr>
              <w:t>Accessible</w:t>
            </w:r>
          </w:p>
        </w:tc>
        <w:tc>
          <w:tcPr>
            <w:tcW w:type="dxa" w:w="7704"/>
            <w:vAlign w:val="center"/>
            <w:tcMar>
              <w:top w:w="95" w:type="dxa"/>
              <w:start w:w="140" w:type="dxa"/>
              <w:bottom w:w="95" w:type="dxa"/>
              <w:end w:w="140" w:type="dxa"/>
            </w:tcMar>
          </w:tcPr>
          <w:p>
            <w:r>
              <w:rPr>
                <w:rFonts w:ascii="Aptos" w:hAnsi="Aptos"/>
                <w:sz w:val="18"/>
              </w:rPr>
              <w:t>Does the audience need translation, another format or a digital-accessibility adjustment?</w:t>
            </w:r>
          </w:p>
        </w:tc>
      </w:tr>
      <w:tr>
        <w:tc>
          <w:tcPr>
            <w:tcW w:type="dxa" w:w="2376"/>
            <w:vAlign w:val="center"/>
            <w:tcMar>
              <w:top w:w="95" w:type="dxa"/>
              <w:start w:w="140" w:type="dxa"/>
              <w:bottom w:w="95" w:type="dxa"/>
              <w:end w:w="140" w:type="dxa"/>
            </w:tcMar>
          </w:tcPr>
          <w:p>
            <w:r>
              <w:rPr>
                <w:rFonts w:ascii="Aptos" w:hAnsi="Aptos"/>
                <w:b/>
                <w:sz w:val="18"/>
              </w:rPr>
              <w:t>Actionable</w:t>
            </w:r>
          </w:p>
        </w:tc>
        <w:tc>
          <w:tcPr>
            <w:tcW w:type="dxa" w:w="7704"/>
            <w:vAlign w:val="center"/>
            <w:tcMar>
              <w:top w:w="95" w:type="dxa"/>
              <w:start w:w="140" w:type="dxa"/>
              <w:bottom w:w="95" w:type="dxa"/>
              <w:end w:w="140" w:type="dxa"/>
            </w:tcMar>
          </w:tcPr>
          <w:p>
            <w:r>
              <w:rPr>
                <w:rFonts w:ascii="Aptos" w:hAnsi="Aptos"/>
                <w:sz w:val="18"/>
              </w:rPr>
              <w:t>If the reader needs to act, is it clear what they need to do and when?</w:t>
            </w:r>
          </w:p>
        </w:tc>
      </w:tr>
    </w:tbl>
    <w:p>
      <w:pPr>
        <w:pStyle w:val="Heading1"/>
      </w:pPr>
      <w:r>
        <w:t>7. When clarity and precision pull in different directions</w:t>
      </w:r>
    </w:p>
    <w:p>
      <w:r>
        <w:rPr>
          <w:rFonts w:ascii="Aptos" w:hAnsi="Aptos"/>
          <w:sz w:val="20"/>
        </w:rPr>
        <w:t>Do not simplify away necessary meaning. Use subject-matter expertise where technical accuracy and plain language appear to conflict. Editorial review should improve clarity without unnecessarily removing the author’s voice, linguistic identity or legitimate professional terminology.</w:t>
      </w:r>
    </w:p>
    <w:tbl>
      <w:tblPr>
        <w:tblW w:type="auto" w:w="0"/>
        <w:jc w:val="center"/>
        <w:tblLook w:firstColumn="1" w:firstRow="1" w:lastColumn="0" w:lastRow="0" w:noHBand="0" w:noVBand="1" w:val="04A0"/>
      </w:tblPr>
      <w:tblGrid>
        <w:gridCol w:w="10454"/>
      </w:tblGrid>
      <w:tr>
        <w:tc>
          <w:tcPr>
            <w:tcW w:type="dxa" w:w="10454"/>
            <w:shd w:fill="EAF2F8"/>
            <w:tcMar>
              <w:top w:w="120" w:type="dxa"/>
              <w:start w:w="160" w:type="dxa"/>
              <w:bottom w:w="120" w:type="dxa"/>
              <w:end w:w="160" w:type="dxa"/>
            </w:tcMar>
          </w:tcPr>
          <w:p>
            <w:r>
              <w:rPr>
                <w:rFonts w:ascii="Aptos" w:hAnsi="Aptos"/>
                <w:b/>
                <w:color w:val="1F4E79"/>
                <w:sz w:val="20"/>
              </w:rPr>
              <w:t xml:space="preserve">Remember: </w:t>
            </w:r>
            <w:r>
              <w:rPr>
                <w:rFonts w:ascii="Aptos" w:hAnsi="Aptos"/>
                <w:sz w:val="20"/>
              </w:rPr>
              <w:t>The aim is not to make everyone sound the same. The aim is to make participation and understanding easier across different countries, cultures, language traditions and professional settings.</w:t>
            </w:r>
          </w:p>
        </w:tc>
      </w:tr>
    </w:tbl>
    <w:p>
      <w:pPr>
        <w:spacing w:before="100" w:after="0"/>
      </w:pPr>
      <w:r>
        <w:rPr>
          <w:rFonts w:ascii="Aptos" w:hAnsi="Aptos"/>
          <w:color w:val="5F5F5F"/>
          <w:sz w:val="17"/>
        </w:rPr>
        <w:t>This guide accompanies the IntNSA Plain English and Accessible Communication Standard and should be read alongside the full standard where detailed interpretation is required. Status: pre-adoption draft, aligned to Standard v0.1.</w:t>
      </w:r>
    </w:p>
    <w:sectPr>
      <w:headerReference w:type="default" r:id="rId9"/>
      <w:footerReference w:type="default" r:id="rId10"/>
      <w:pgSz w:w="12240" w:h="15840"/>
      <w:pgMar w:top="691" w:right="893" w:bottom="648" w:left="893"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E6E6E"/>
        <w:sz w:val="16"/>
      </w:rPr>
      <w:t>International Nurses Society on Addictions  |  Companion to the Plain English and Accessible Communication Standard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646464"/>
        <w:sz w:val="17"/>
      </w:rPr>
      <w:t>IntNSA  |  Plain English Companion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0"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60"/>
      <w:outlineLvl w:val="0"/>
    </w:pPr>
    <w:rPr>
      <w:rFonts w:asciiTheme="majorHAnsi" w:eastAsiaTheme="majorEastAsia" w:hAnsiTheme="majorHAnsi" w:cstheme="majorBidi" w:ascii="Aptos Display" w:hAnsi="Aptos Display"/>
      <w:b/>
      <w:bCs/>
      <w:color w:val="1F4E79"/>
      <w:sz w:val="27"/>
      <w:szCs w:val="28"/>
    </w:rPr>
  </w:style>
  <w:style w:type="paragraph" w:styleId="Heading2">
    <w:name w:val="heading 2"/>
    <w:basedOn w:val="Normal"/>
    <w:next w:val="Normal"/>
    <w:link w:val="Heading2Char"/>
    <w:uiPriority w:val="9"/>
    <w:unhideWhenUsed/>
    <w:qFormat/>
    <w:rsid w:val="00FC693F"/>
    <w:pPr>
      <w:keepNext/>
      <w:keepLines/>
      <w:spacing w:before="80" w:after="40"/>
      <w:outlineLvl w:val="1"/>
    </w:pPr>
    <w:rPr>
      <w:rFonts w:asciiTheme="majorHAnsi" w:eastAsiaTheme="majorEastAsia" w:hAnsiTheme="majorHAnsi" w:cstheme="majorBidi" w:ascii="Aptos Display" w:hAnsi="Aptos Display"/>
      <w:b/>
      <w:bCs/>
      <w:color w:val="444444"/>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40" w:line="240" w:lineRule="auto"/>
      <w:contextualSpacing/>
    </w:pPr>
    <w:rPr>
      <w:rFonts w:asciiTheme="majorHAnsi" w:eastAsiaTheme="majorEastAsia" w:hAnsiTheme="majorHAnsi" w:cstheme="majorBidi" w:ascii="Aptos Display" w:hAnsi="Aptos Display"/>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